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56" w:rsidRDefault="00BB785B">
      <w:r>
        <w:t>Kulturablauf am Beispiel einer Rose: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8"/>
        <w:gridCol w:w="2269"/>
        <w:gridCol w:w="2709"/>
        <w:gridCol w:w="1856"/>
      </w:tblGrid>
      <w:tr w:rsidR="00F308B1" w:rsidTr="00BB785B">
        <w:tc>
          <w:tcPr>
            <w:tcW w:w="2264" w:type="dxa"/>
          </w:tcPr>
          <w:p w:rsidR="00BB785B" w:rsidRDefault="00BB785B">
            <w:r>
              <w:t>Arbeiten</w:t>
            </w:r>
          </w:p>
        </w:tc>
        <w:tc>
          <w:tcPr>
            <w:tcW w:w="2269" w:type="dxa"/>
          </w:tcPr>
          <w:p w:rsidR="00BB785B" w:rsidRDefault="00BB785B">
            <w:r>
              <w:t>Zeitpunkt/Zeitspanne</w:t>
            </w:r>
          </w:p>
        </w:tc>
        <w:tc>
          <w:tcPr>
            <w:tcW w:w="2264" w:type="dxa"/>
          </w:tcPr>
          <w:p w:rsidR="00BB785B" w:rsidRDefault="00BB785B">
            <w:r>
              <w:t>Begriffe</w:t>
            </w:r>
          </w:p>
        </w:tc>
        <w:tc>
          <w:tcPr>
            <w:tcW w:w="2265" w:type="dxa"/>
          </w:tcPr>
          <w:p w:rsidR="00BB785B" w:rsidRDefault="00BB785B">
            <w:r>
              <w:t>Bemerkungen</w:t>
            </w:r>
          </w:p>
        </w:tc>
      </w:tr>
      <w:tr w:rsidR="00F308B1" w:rsidTr="00BB785B">
        <w:tc>
          <w:tcPr>
            <w:tcW w:w="2264" w:type="dxa"/>
          </w:tcPr>
          <w:p w:rsidR="00BB785B" w:rsidRDefault="00BB785B">
            <w:r>
              <w:t>Rosen, Allgemeines:</w:t>
            </w:r>
          </w:p>
        </w:tc>
        <w:tc>
          <w:tcPr>
            <w:tcW w:w="6798" w:type="dxa"/>
            <w:gridSpan w:val="3"/>
          </w:tcPr>
          <w:p w:rsidR="00BB785B" w:rsidRPr="00BB785B" w:rsidRDefault="00BB785B">
            <w:r>
              <w:t xml:space="preserve">Allgemeine Deutsche </w:t>
            </w:r>
            <w:proofErr w:type="spellStart"/>
            <w:r>
              <w:t>Rosenneuheitenprüfung</w:t>
            </w:r>
            <w:proofErr w:type="spellEnd"/>
            <w:r w:rsidR="00363BD4">
              <w:t xml:space="preserve"> </w:t>
            </w:r>
            <w:bookmarkStart w:id="0" w:name="_GoBack"/>
            <w:bookmarkEnd w:id="0"/>
            <w:r>
              <w:t xml:space="preserve">(ADR); Qualitätskriterien: </w:t>
            </w:r>
            <w:proofErr w:type="spellStart"/>
            <w:r>
              <w:t>Zierwert</w:t>
            </w:r>
            <w:proofErr w:type="spellEnd"/>
            <w:r>
              <w:t xml:space="preserve"> und Widerstandsfähigkeit; Gesundheit versus Pflanzenschutzmittel; Gütebestimmungen; Unterlagen und ihre Formen; Wurzelhals(länge); </w:t>
            </w:r>
            <w:r w:rsidR="005F60AE">
              <w:t xml:space="preserve">wurzelnackt/wurzelfrei; Container; veredelte Rosen, wurzelechte Rosen; Güteklassen; Stammhöhen bei Stammrosen; </w:t>
            </w:r>
          </w:p>
        </w:tc>
      </w:tr>
      <w:tr w:rsidR="00F308B1" w:rsidTr="00BB785B">
        <w:tc>
          <w:tcPr>
            <w:tcW w:w="2264" w:type="dxa"/>
          </w:tcPr>
          <w:p w:rsidR="00BB785B" w:rsidRDefault="00F3141C">
            <w:r>
              <w:t>Bodenvorbereitung</w:t>
            </w:r>
          </w:p>
        </w:tc>
        <w:tc>
          <w:tcPr>
            <w:tcW w:w="2269" w:type="dxa"/>
          </w:tcPr>
          <w:p w:rsidR="00BB785B" w:rsidRDefault="00BB785B"/>
        </w:tc>
        <w:tc>
          <w:tcPr>
            <w:tcW w:w="2264" w:type="dxa"/>
          </w:tcPr>
          <w:p w:rsidR="00BB785B" w:rsidRDefault="00F3141C">
            <w:r>
              <w:t xml:space="preserve">Bodenmüdigkeit; Gründüngung; Pflug, Spatenmaschine; Fräse; Kreiselegge; </w:t>
            </w:r>
          </w:p>
        </w:tc>
        <w:tc>
          <w:tcPr>
            <w:tcW w:w="2265" w:type="dxa"/>
          </w:tcPr>
          <w:p w:rsidR="00BB785B" w:rsidRDefault="00BB785B"/>
        </w:tc>
      </w:tr>
      <w:tr w:rsidR="00F308B1" w:rsidTr="00BB785B">
        <w:tc>
          <w:tcPr>
            <w:tcW w:w="2264" w:type="dxa"/>
          </w:tcPr>
          <w:p w:rsidR="00BB785B" w:rsidRDefault="00F3141C">
            <w:r>
              <w:t>Behandlung der Ausgangsware</w:t>
            </w:r>
          </w:p>
        </w:tc>
        <w:tc>
          <w:tcPr>
            <w:tcW w:w="2269" w:type="dxa"/>
          </w:tcPr>
          <w:p w:rsidR="00BB785B" w:rsidRDefault="00BB785B"/>
        </w:tc>
        <w:tc>
          <w:tcPr>
            <w:tcW w:w="2264" w:type="dxa"/>
          </w:tcPr>
          <w:p w:rsidR="00BB785B" w:rsidRDefault="00F3141C">
            <w:proofErr w:type="spellStart"/>
            <w:r>
              <w:t>Sämlingsunterlagen</w:t>
            </w:r>
            <w:proofErr w:type="spellEnd"/>
            <w:r>
              <w:t xml:space="preserve">; </w:t>
            </w:r>
            <w:proofErr w:type="spellStart"/>
            <w:r>
              <w:t>Unterlagsbaumschule</w:t>
            </w:r>
            <w:proofErr w:type="spellEnd"/>
            <w:r>
              <w:t xml:space="preserve">; Wurzelhalsdurchmesser; Pflanzschnitt; Kühllager; </w:t>
            </w:r>
          </w:p>
        </w:tc>
        <w:tc>
          <w:tcPr>
            <w:tcW w:w="2265" w:type="dxa"/>
          </w:tcPr>
          <w:p w:rsidR="00BB785B" w:rsidRDefault="00BB785B"/>
        </w:tc>
      </w:tr>
      <w:tr w:rsidR="00F308B1" w:rsidTr="00BB785B">
        <w:tc>
          <w:tcPr>
            <w:tcW w:w="2264" w:type="dxa"/>
          </w:tcPr>
          <w:p w:rsidR="00F3141C" w:rsidRDefault="00F3141C">
            <w:r>
              <w:t>Pflanzung der Ausgangsware</w:t>
            </w:r>
          </w:p>
        </w:tc>
        <w:tc>
          <w:tcPr>
            <w:tcW w:w="2269" w:type="dxa"/>
          </w:tcPr>
          <w:p w:rsidR="00F3141C" w:rsidRDefault="00F3141C"/>
        </w:tc>
        <w:tc>
          <w:tcPr>
            <w:tcW w:w="2264" w:type="dxa"/>
          </w:tcPr>
          <w:p w:rsidR="00F3141C" w:rsidRDefault="00466F7D">
            <w:r>
              <w:t xml:space="preserve">Jahreszeit; Frost-Ausfälle; Spaten; Pflanzhacke; Rillenfräse, Pflanzmaschine; Pflanzabstände; Pflanztiefe; </w:t>
            </w:r>
            <w:proofErr w:type="spellStart"/>
            <w:r>
              <w:t>anhäufeln</w:t>
            </w:r>
            <w:proofErr w:type="spellEnd"/>
            <w:r>
              <w:t xml:space="preserve">; </w:t>
            </w:r>
          </w:p>
        </w:tc>
        <w:tc>
          <w:tcPr>
            <w:tcW w:w="2265" w:type="dxa"/>
          </w:tcPr>
          <w:p w:rsidR="00F3141C" w:rsidRDefault="00F3141C"/>
        </w:tc>
      </w:tr>
      <w:tr w:rsidR="00F308B1" w:rsidTr="00BB785B">
        <w:tc>
          <w:tcPr>
            <w:tcW w:w="2264" w:type="dxa"/>
          </w:tcPr>
          <w:p w:rsidR="00466F7D" w:rsidRDefault="00466F7D">
            <w:r>
              <w:t>Bodenpflege und Unkrautbekämpfung</w:t>
            </w:r>
          </w:p>
        </w:tc>
        <w:tc>
          <w:tcPr>
            <w:tcW w:w="2269" w:type="dxa"/>
          </w:tcPr>
          <w:p w:rsidR="00466F7D" w:rsidRDefault="00466F7D"/>
        </w:tc>
        <w:tc>
          <w:tcPr>
            <w:tcW w:w="2264" w:type="dxa"/>
          </w:tcPr>
          <w:p w:rsidR="00466F7D" w:rsidRDefault="00466F7D" w:rsidP="00466F7D">
            <w:r>
              <w:t xml:space="preserve">Mechanische Unkrautbekämpfung; Vorauflaufherbizide; Anbaugeräte; Fingerhacken; Zeilenräumgebläse; Kultivator; Hackfräse; </w:t>
            </w:r>
          </w:p>
        </w:tc>
        <w:tc>
          <w:tcPr>
            <w:tcW w:w="2265" w:type="dxa"/>
          </w:tcPr>
          <w:p w:rsidR="00466F7D" w:rsidRDefault="00466F7D"/>
        </w:tc>
      </w:tr>
      <w:tr w:rsidR="00F308B1" w:rsidTr="00BB785B">
        <w:tc>
          <w:tcPr>
            <w:tcW w:w="2264" w:type="dxa"/>
          </w:tcPr>
          <w:p w:rsidR="00466F7D" w:rsidRDefault="00466F7D">
            <w:r>
              <w:t>Arbeiten an der Pflanze</w:t>
            </w:r>
          </w:p>
        </w:tc>
        <w:tc>
          <w:tcPr>
            <w:tcW w:w="2269" w:type="dxa"/>
          </w:tcPr>
          <w:p w:rsidR="00466F7D" w:rsidRDefault="00E73502" w:rsidP="00E73502">
            <w:pPr>
              <w:pStyle w:val="Listenabsatz"/>
              <w:numPr>
                <w:ilvl w:val="0"/>
                <w:numId w:val="1"/>
              </w:numPr>
            </w:pPr>
            <w:r>
              <w:t>Jahr:</w:t>
            </w:r>
          </w:p>
        </w:tc>
        <w:tc>
          <w:tcPr>
            <w:tcW w:w="2264" w:type="dxa"/>
          </w:tcPr>
          <w:p w:rsidR="00466F7D" w:rsidRDefault="00E73502">
            <w:r>
              <w:t xml:space="preserve">Okulation; Zeilenräumgebläse; Bürsten; Edelreiser; Lizenzsorten; Behandlung und Lagerung; Durchführung; T-Schnitt; Verbinder; Okulations-Schnell-Verschluss; Aufzeichnungen; </w:t>
            </w:r>
            <w:proofErr w:type="spellStart"/>
            <w:r>
              <w:t>Anwuchskontrolle</w:t>
            </w:r>
            <w:proofErr w:type="spellEnd"/>
            <w:r>
              <w:t xml:space="preserve">; </w:t>
            </w:r>
            <w:proofErr w:type="spellStart"/>
            <w:r>
              <w:t>anhäufeln</w:t>
            </w:r>
            <w:proofErr w:type="spellEnd"/>
            <w:r>
              <w:t xml:space="preserve">; </w:t>
            </w:r>
          </w:p>
        </w:tc>
        <w:tc>
          <w:tcPr>
            <w:tcW w:w="2265" w:type="dxa"/>
          </w:tcPr>
          <w:p w:rsidR="00466F7D" w:rsidRDefault="00466F7D"/>
        </w:tc>
      </w:tr>
      <w:tr w:rsidR="00F308B1" w:rsidTr="00BB785B">
        <w:tc>
          <w:tcPr>
            <w:tcW w:w="2264" w:type="dxa"/>
          </w:tcPr>
          <w:p w:rsidR="00E73502" w:rsidRDefault="00E73502"/>
        </w:tc>
        <w:tc>
          <w:tcPr>
            <w:tcW w:w="2269" w:type="dxa"/>
          </w:tcPr>
          <w:p w:rsidR="00E73502" w:rsidRDefault="00E73502" w:rsidP="00E73502">
            <w:pPr>
              <w:pStyle w:val="Listenabsatz"/>
              <w:numPr>
                <w:ilvl w:val="0"/>
                <w:numId w:val="1"/>
              </w:numPr>
            </w:pPr>
            <w:r>
              <w:t>Jahr:</w:t>
            </w:r>
          </w:p>
        </w:tc>
        <w:tc>
          <w:tcPr>
            <w:tcW w:w="2264" w:type="dxa"/>
          </w:tcPr>
          <w:p w:rsidR="00E73502" w:rsidRDefault="00E73502" w:rsidP="00DB2156">
            <w:proofErr w:type="spellStart"/>
            <w:r>
              <w:t>abhäufeln</w:t>
            </w:r>
            <w:proofErr w:type="spellEnd"/>
            <w:r>
              <w:t xml:space="preserve">; abwerfen; Elektroschere; pneumatische Schere; </w:t>
            </w:r>
            <w:proofErr w:type="spellStart"/>
            <w:r w:rsidR="00111834">
              <w:t>pinzieren</w:t>
            </w:r>
            <w:proofErr w:type="spellEnd"/>
            <w:r w:rsidR="00111834">
              <w:t xml:space="preserve">; </w:t>
            </w:r>
            <w:r w:rsidR="00DB2156">
              <w:t>räubern</w:t>
            </w:r>
            <w:r w:rsidR="00111834">
              <w:t xml:space="preserve">; Rückschnitt des Blütenflores; </w:t>
            </w:r>
          </w:p>
        </w:tc>
        <w:tc>
          <w:tcPr>
            <w:tcW w:w="2265" w:type="dxa"/>
          </w:tcPr>
          <w:p w:rsidR="00E73502" w:rsidRDefault="00E73502"/>
        </w:tc>
      </w:tr>
      <w:tr w:rsidR="00F308B1" w:rsidTr="00BB785B">
        <w:tc>
          <w:tcPr>
            <w:tcW w:w="2264" w:type="dxa"/>
          </w:tcPr>
          <w:p w:rsidR="00111834" w:rsidRDefault="00111834">
            <w:r>
              <w:t>Düngung</w:t>
            </w:r>
          </w:p>
        </w:tc>
        <w:tc>
          <w:tcPr>
            <w:tcW w:w="2269" w:type="dxa"/>
          </w:tcPr>
          <w:p w:rsidR="00111834" w:rsidRDefault="00111834" w:rsidP="00111834"/>
        </w:tc>
        <w:tc>
          <w:tcPr>
            <w:tcW w:w="2264" w:type="dxa"/>
          </w:tcPr>
          <w:p w:rsidR="00111834" w:rsidRDefault="00111834">
            <w:r>
              <w:t xml:space="preserve">Bodenprobe; Nährstoff; pH-Wert; Stickstoffzufuhr – Rindenlöser; </w:t>
            </w:r>
            <w:r>
              <w:lastRenderedPageBreak/>
              <w:t xml:space="preserve">Stickstoffbedarf; Dünger mit Langzeitwirkung; schnellwirkende Dünger; </w:t>
            </w:r>
          </w:p>
        </w:tc>
        <w:tc>
          <w:tcPr>
            <w:tcW w:w="2265" w:type="dxa"/>
          </w:tcPr>
          <w:p w:rsidR="00111834" w:rsidRDefault="00111834"/>
        </w:tc>
      </w:tr>
      <w:tr w:rsidR="00F308B1" w:rsidTr="00BB785B">
        <w:tc>
          <w:tcPr>
            <w:tcW w:w="2264" w:type="dxa"/>
          </w:tcPr>
          <w:p w:rsidR="00F621F7" w:rsidRDefault="00F621F7">
            <w:r>
              <w:t>Pflanzenschutz</w:t>
            </w:r>
          </w:p>
        </w:tc>
        <w:tc>
          <w:tcPr>
            <w:tcW w:w="2269" w:type="dxa"/>
          </w:tcPr>
          <w:p w:rsidR="00F621F7" w:rsidRDefault="00F621F7" w:rsidP="00111834"/>
        </w:tc>
        <w:tc>
          <w:tcPr>
            <w:tcW w:w="2264" w:type="dxa"/>
          </w:tcPr>
          <w:p w:rsidR="00F621F7" w:rsidRDefault="00F621F7">
            <w:r>
              <w:t xml:space="preserve">Krankheitserreger; Schadbild; Gegenmaßnahmen; Zulassungen; Resistenzbildung; Ausbringung; Hochschlepper; Anbauspritzen; </w:t>
            </w:r>
          </w:p>
        </w:tc>
        <w:tc>
          <w:tcPr>
            <w:tcW w:w="2265" w:type="dxa"/>
          </w:tcPr>
          <w:p w:rsidR="00F621F7" w:rsidRDefault="00F621F7"/>
        </w:tc>
      </w:tr>
      <w:tr w:rsidR="00F308B1" w:rsidTr="00BB785B">
        <w:tc>
          <w:tcPr>
            <w:tcW w:w="2264" w:type="dxa"/>
          </w:tcPr>
          <w:p w:rsidR="00F308B1" w:rsidRDefault="00F308B1">
            <w:r>
              <w:t>Bewässerung</w:t>
            </w:r>
          </w:p>
        </w:tc>
        <w:tc>
          <w:tcPr>
            <w:tcW w:w="2269" w:type="dxa"/>
          </w:tcPr>
          <w:p w:rsidR="00F308B1" w:rsidRDefault="00F308B1" w:rsidP="00111834"/>
        </w:tc>
        <w:tc>
          <w:tcPr>
            <w:tcW w:w="2264" w:type="dxa"/>
          </w:tcPr>
          <w:p w:rsidR="00F308B1" w:rsidRDefault="00F308B1">
            <w:r>
              <w:t xml:space="preserve">Unterlagen wässern; Jungpflanzen bewässern; </w:t>
            </w:r>
          </w:p>
        </w:tc>
        <w:tc>
          <w:tcPr>
            <w:tcW w:w="2265" w:type="dxa"/>
          </w:tcPr>
          <w:p w:rsidR="00F308B1" w:rsidRDefault="00F308B1"/>
        </w:tc>
      </w:tr>
      <w:tr w:rsidR="00F308B1" w:rsidTr="00BB785B">
        <w:tc>
          <w:tcPr>
            <w:tcW w:w="2264" w:type="dxa"/>
          </w:tcPr>
          <w:p w:rsidR="00F308B1" w:rsidRDefault="00F308B1">
            <w:r>
              <w:t>Rodung und Transport</w:t>
            </w:r>
          </w:p>
        </w:tc>
        <w:tc>
          <w:tcPr>
            <w:tcW w:w="2269" w:type="dxa"/>
          </w:tcPr>
          <w:p w:rsidR="00F308B1" w:rsidRDefault="00F308B1" w:rsidP="00111834"/>
        </w:tc>
        <w:tc>
          <w:tcPr>
            <w:tcW w:w="2264" w:type="dxa"/>
          </w:tcPr>
          <w:p w:rsidR="00F308B1" w:rsidRDefault="00F308B1">
            <w:r>
              <w:t xml:space="preserve">1-jährige </w:t>
            </w:r>
            <w:proofErr w:type="spellStart"/>
            <w:r>
              <w:t>Rosenveredlungen</w:t>
            </w:r>
            <w:proofErr w:type="spellEnd"/>
            <w:r>
              <w:t xml:space="preserve">; Rodung; entblättern; Entblätterungsmaschinen; Verladung auf Anhänger; Versandhalle; Tische; A- und B-Qualität; Etikettierung; Bündelmaschine; </w:t>
            </w:r>
            <w:r w:rsidR="00E73093">
              <w:t xml:space="preserve">einkürzen; Kühlhaus; </w:t>
            </w:r>
          </w:p>
        </w:tc>
        <w:tc>
          <w:tcPr>
            <w:tcW w:w="2265" w:type="dxa"/>
          </w:tcPr>
          <w:p w:rsidR="00F308B1" w:rsidRDefault="00F308B1"/>
        </w:tc>
      </w:tr>
      <w:tr w:rsidR="00E73093" w:rsidTr="00BB785B">
        <w:tc>
          <w:tcPr>
            <w:tcW w:w="2264" w:type="dxa"/>
          </w:tcPr>
          <w:p w:rsidR="00E73093" w:rsidRDefault="00E73093">
            <w:r>
              <w:t>Hinweise</w:t>
            </w:r>
          </w:p>
        </w:tc>
        <w:tc>
          <w:tcPr>
            <w:tcW w:w="2269" w:type="dxa"/>
          </w:tcPr>
          <w:p w:rsidR="00E73093" w:rsidRDefault="00E73093" w:rsidP="00111834"/>
        </w:tc>
        <w:tc>
          <w:tcPr>
            <w:tcW w:w="2264" w:type="dxa"/>
          </w:tcPr>
          <w:p w:rsidR="00E73093" w:rsidRDefault="00E73093">
            <w:r>
              <w:t xml:space="preserve">Rodung der </w:t>
            </w:r>
            <w:proofErr w:type="spellStart"/>
            <w:r>
              <w:t>Okulanten</w:t>
            </w:r>
            <w:proofErr w:type="spellEnd"/>
            <w:r>
              <w:t xml:space="preserve"> im 1. Jahr für Container-Heranzucht; </w:t>
            </w:r>
          </w:p>
        </w:tc>
        <w:tc>
          <w:tcPr>
            <w:tcW w:w="2265" w:type="dxa"/>
          </w:tcPr>
          <w:p w:rsidR="00E73093" w:rsidRDefault="00E73093"/>
        </w:tc>
      </w:tr>
    </w:tbl>
    <w:p w:rsidR="00BB785B" w:rsidRDefault="00BB785B"/>
    <w:sectPr w:rsidR="00BB785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2B" w:rsidRDefault="0090262B" w:rsidP="0090262B">
      <w:pPr>
        <w:spacing w:line="240" w:lineRule="auto"/>
      </w:pPr>
      <w:r>
        <w:separator/>
      </w:r>
    </w:p>
  </w:endnote>
  <w:endnote w:type="continuationSeparator" w:id="0">
    <w:p w:rsidR="0090262B" w:rsidRDefault="0090262B" w:rsidP="00902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2B" w:rsidRDefault="0090262B" w:rsidP="0090262B">
      <w:pPr>
        <w:spacing w:line="240" w:lineRule="auto"/>
      </w:pPr>
      <w:r>
        <w:separator/>
      </w:r>
    </w:p>
  </w:footnote>
  <w:footnote w:type="continuationSeparator" w:id="0">
    <w:p w:rsidR="0090262B" w:rsidRDefault="0090262B" w:rsidP="00902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55241"/>
      <w:docPartObj>
        <w:docPartGallery w:val="Page Numbers (Top of Page)"/>
        <w:docPartUnique/>
      </w:docPartObj>
    </w:sdtPr>
    <w:sdtEndPr/>
    <w:sdtContent>
      <w:p w:rsidR="0090262B" w:rsidRDefault="0090262B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BD4" w:rsidRPr="00363BD4">
          <w:rPr>
            <w:noProof/>
            <w:lang w:val="de-DE"/>
          </w:rPr>
          <w:t>1</w:t>
        </w:r>
        <w:r>
          <w:fldChar w:fldCharType="end"/>
        </w:r>
      </w:p>
    </w:sdtContent>
  </w:sdt>
  <w:p w:rsidR="0090262B" w:rsidRDefault="009026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675"/>
    <w:multiLevelType w:val="hybridMultilevel"/>
    <w:tmpl w:val="0276AD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5B"/>
    <w:rsid w:val="000B6422"/>
    <w:rsid w:val="00111834"/>
    <w:rsid w:val="00363BD4"/>
    <w:rsid w:val="00466F7D"/>
    <w:rsid w:val="005F60AE"/>
    <w:rsid w:val="006A1FBD"/>
    <w:rsid w:val="0090262B"/>
    <w:rsid w:val="00961D1E"/>
    <w:rsid w:val="0097432C"/>
    <w:rsid w:val="00A31A83"/>
    <w:rsid w:val="00BB785B"/>
    <w:rsid w:val="00D0759B"/>
    <w:rsid w:val="00DB2156"/>
    <w:rsid w:val="00E73093"/>
    <w:rsid w:val="00E73502"/>
    <w:rsid w:val="00F308B1"/>
    <w:rsid w:val="00F3141C"/>
    <w:rsid w:val="00F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3042"/>
  <w15:chartTrackingRefBased/>
  <w15:docId w15:val="{05575C78-145B-4AF9-BE3A-4EF189D2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de-A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7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350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1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215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026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262B"/>
  </w:style>
  <w:style w:type="paragraph" w:styleId="Fuzeile">
    <w:name w:val="footer"/>
    <w:basedOn w:val="Standard"/>
    <w:link w:val="FuzeileZchn"/>
    <w:uiPriority w:val="99"/>
    <w:unhideWhenUsed/>
    <w:rsid w:val="009026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NÖ Bildungsnetz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Weiss</dc:creator>
  <cp:keywords/>
  <dc:description/>
  <cp:lastModifiedBy>Andreas Kovac</cp:lastModifiedBy>
  <cp:revision>3</cp:revision>
  <cp:lastPrinted>2017-02-23T10:48:00Z</cp:lastPrinted>
  <dcterms:created xsi:type="dcterms:W3CDTF">2017-06-19T10:57:00Z</dcterms:created>
  <dcterms:modified xsi:type="dcterms:W3CDTF">2019-04-29T06:17:00Z</dcterms:modified>
</cp:coreProperties>
</file>